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Layout w:type="fixed"/>
        <w:tblCellMar>
          <w:left w:w="70" w:type="dxa"/>
          <w:right w:w="70" w:type="dxa"/>
        </w:tblCellMar>
        <w:tblLook w:val="0000" w:firstRow="0" w:lastRow="0" w:firstColumn="0" w:lastColumn="0" w:noHBand="0" w:noVBand="0"/>
      </w:tblPr>
      <w:tblGrid>
        <w:gridCol w:w="2552"/>
        <w:gridCol w:w="4423"/>
        <w:gridCol w:w="2552"/>
      </w:tblGrid>
      <w:tr w:rsidR="005C1989" w14:paraId="4A381A43" w14:textId="77777777">
        <w:tc>
          <w:tcPr>
            <w:tcW w:w="2552" w:type="dxa"/>
            <w:tcBorders>
              <w:bottom w:val="single" w:sz="6" w:space="0" w:color="auto"/>
            </w:tcBorders>
          </w:tcPr>
          <w:p w14:paraId="52D777D4" w14:textId="39531A7C" w:rsidR="005C1989" w:rsidRPr="00F368DA" w:rsidRDefault="00F368DA">
            <w:pPr>
              <w:tabs>
                <w:tab w:val="left" w:pos="426"/>
              </w:tabs>
              <w:rPr>
                <w:b/>
                <w:bCs/>
              </w:rPr>
            </w:pPr>
            <w:r w:rsidRPr="00D327B7">
              <w:rPr>
                <w:b/>
                <w:bCs/>
                <w:highlight w:val="yellow"/>
              </w:rPr>
              <w:t>ModuleWorks GmbH</w:t>
            </w:r>
            <w:r w:rsidR="005C1989" w:rsidRPr="00F368DA">
              <w:rPr>
                <w:b/>
                <w:bCs/>
              </w:rPr>
              <w:fldChar w:fldCharType="begin"/>
            </w:r>
            <w:r w:rsidR="005C1989" w:rsidRPr="00F368DA">
              <w:rPr>
                <w:b/>
                <w:bCs/>
              </w:rPr>
              <w:fldChar w:fldCharType="end"/>
            </w:r>
          </w:p>
        </w:tc>
        <w:tc>
          <w:tcPr>
            <w:tcW w:w="4423" w:type="dxa"/>
          </w:tcPr>
          <w:p w14:paraId="2F1CDE5A" w14:textId="77777777" w:rsidR="005C1989" w:rsidRDefault="005C1989">
            <w:pPr>
              <w:pStyle w:val="Header"/>
              <w:tabs>
                <w:tab w:val="clear" w:pos="4536"/>
                <w:tab w:val="clear" w:pos="9072"/>
                <w:tab w:val="left" w:pos="426"/>
              </w:tabs>
            </w:pPr>
            <w:r>
              <w:fldChar w:fldCharType="begin"/>
            </w:r>
            <w:r>
              <w:fldChar w:fldCharType="end"/>
            </w:r>
          </w:p>
        </w:tc>
        <w:tc>
          <w:tcPr>
            <w:tcW w:w="2552" w:type="dxa"/>
            <w:tcBorders>
              <w:bottom w:val="single" w:sz="6" w:space="0" w:color="auto"/>
            </w:tcBorders>
          </w:tcPr>
          <w:p w14:paraId="018AF07A" w14:textId="39BB9BEF" w:rsidR="005C1989" w:rsidRPr="00F368DA" w:rsidRDefault="00F368DA">
            <w:pPr>
              <w:tabs>
                <w:tab w:val="left" w:pos="426"/>
              </w:tabs>
              <w:rPr>
                <w:b/>
                <w:bCs/>
              </w:rPr>
            </w:pPr>
            <w:r w:rsidRPr="00740383">
              <w:rPr>
                <w:b/>
                <w:bCs/>
                <w:highlight w:val="yellow"/>
              </w:rPr>
              <w:t>01IS22006</w:t>
            </w:r>
            <w:r w:rsidRPr="00740383">
              <w:rPr>
                <w:b/>
                <w:bCs/>
                <w:highlight w:val="red"/>
              </w:rPr>
              <w:t>A</w:t>
            </w:r>
            <w:r w:rsidR="005C1989" w:rsidRPr="00740383">
              <w:rPr>
                <w:b/>
                <w:bCs/>
                <w:highlight w:val="red"/>
              </w:rPr>
              <w:fldChar w:fldCharType="begin"/>
            </w:r>
            <w:r w:rsidR="005C1989" w:rsidRPr="00740383">
              <w:rPr>
                <w:b/>
                <w:bCs/>
                <w:highlight w:val="red"/>
              </w:rPr>
              <w:fldChar w:fldCharType="end"/>
            </w:r>
          </w:p>
        </w:tc>
      </w:tr>
      <w:tr w:rsidR="005C1989" w14:paraId="2A5F913F" w14:textId="77777777">
        <w:tc>
          <w:tcPr>
            <w:tcW w:w="2552" w:type="dxa"/>
          </w:tcPr>
          <w:p w14:paraId="6554610B" w14:textId="77777777" w:rsidR="005C1989" w:rsidRDefault="005C1989">
            <w:pPr>
              <w:tabs>
                <w:tab w:val="left" w:pos="426"/>
              </w:tabs>
              <w:rPr>
                <w:sz w:val="18"/>
              </w:rPr>
            </w:pPr>
            <w:r>
              <w:rPr>
                <w:sz w:val="18"/>
              </w:rPr>
              <w:t>Zuwendungsempfänger</w:t>
            </w:r>
            <w:r>
              <w:rPr>
                <w:sz w:val="18"/>
              </w:rPr>
              <w:tab/>
            </w:r>
          </w:p>
        </w:tc>
        <w:tc>
          <w:tcPr>
            <w:tcW w:w="4423" w:type="dxa"/>
          </w:tcPr>
          <w:p w14:paraId="711BCD18" w14:textId="77777777" w:rsidR="005C1989" w:rsidRDefault="005C1989">
            <w:pPr>
              <w:tabs>
                <w:tab w:val="left" w:pos="426"/>
              </w:tabs>
              <w:rPr>
                <w:sz w:val="18"/>
              </w:rPr>
            </w:pPr>
          </w:p>
        </w:tc>
        <w:tc>
          <w:tcPr>
            <w:tcW w:w="2552" w:type="dxa"/>
          </w:tcPr>
          <w:p w14:paraId="5297F359" w14:textId="77777777" w:rsidR="005C1989" w:rsidRDefault="005C1989">
            <w:pPr>
              <w:tabs>
                <w:tab w:val="left" w:pos="426"/>
              </w:tabs>
              <w:rPr>
                <w:sz w:val="18"/>
              </w:rPr>
            </w:pPr>
            <w:r>
              <w:rPr>
                <w:sz w:val="18"/>
              </w:rPr>
              <w:t>Förderkennzeichen</w:t>
            </w:r>
          </w:p>
        </w:tc>
      </w:tr>
    </w:tbl>
    <w:p w14:paraId="2F53F7A7" w14:textId="77777777" w:rsidR="005C1989" w:rsidRDefault="005C1989">
      <w:pPr>
        <w:jc w:val="center"/>
      </w:pPr>
    </w:p>
    <w:p w14:paraId="43508C5F" w14:textId="77777777" w:rsidR="005C1989" w:rsidRDefault="005C1989">
      <w:pPr>
        <w:pStyle w:val="Heading1"/>
        <w:rPr>
          <w:sz w:val="24"/>
        </w:rPr>
      </w:pPr>
      <w:r>
        <w:rPr>
          <w:sz w:val="24"/>
        </w:rPr>
        <w:t>Erfolgskontrollbericht</w:t>
      </w:r>
    </w:p>
    <w:p w14:paraId="0425F607" w14:textId="77777777" w:rsidR="005C1989" w:rsidRDefault="005C1989">
      <w:pPr>
        <w:jc w:val="center"/>
      </w:pPr>
      <w:r>
        <w:t>(wird nicht veröffentlicht)</w:t>
      </w:r>
    </w:p>
    <w:p w14:paraId="3F5C1208" w14:textId="77777777" w:rsidR="005C1989" w:rsidRDefault="005C1989">
      <w:pPr>
        <w:jc w:val="cente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5"/>
        <w:gridCol w:w="6733"/>
      </w:tblGrid>
      <w:tr w:rsidR="005C1989" w14:paraId="74DA9941" w14:textId="77777777" w:rsidTr="007B6E31">
        <w:trPr>
          <w:trHeight w:val="1548"/>
        </w:trPr>
        <w:tc>
          <w:tcPr>
            <w:tcW w:w="2835" w:type="dxa"/>
          </w:tcPr>
          <w:p w14:paraId="4A2C8C2E" w14:textId="77777777" w:rsidR="005C1989" w:rsidRPr="00C566B8" w:rsidRDefault="005C1989" w:rsidP="00FE6CAC">
            <w:pPr>
              <w:pStyle w:val="BodyText"/>
              <w:numPr>
                <w:ilvl w:val="0"/>
                <w:numId w:val="1"/>
              </w:numPr>
              <w:tabs>
                <w:tab w:val="clear" w:pos="360"/>
              </w:tabs>
              <w:rPr>
                <w:rFonts w:cs="Arial"/>
              </w:rPr>
            </w:pPr>
            <w:r w:rsidRPr="00C566B8">
              <w:rPr>
                <w:rFonts w:cs="Arial"/>
              </w:rPr>
              <w:t>Beitrag des Ergebnisses zu den förderpolitischen Zielen des Förderprogramms</w:t>
            </w:r>
          </w:p>
        </w:tc>
        <w:tc>
          <w:tcPr>
            <w:tcW w:w="6733" w:type="dxa"/>
          </w:tcPr>
          <w:p w14:paraId="6FBA11FB" w14:textId="0FEA6AC5" w:rsidR="00190002" w:rsidRPr="00740383" w:rsidRDefault="00190002" w:rsidP="00190002">
            <w:pPr>
              <w:rPr>
                <w:highlight w:val="cyan"/>
                <w:lang/>
              </w:rPr>
            </w:pPr>
            <w:r w:rsidRPr="00740383">
              <w:rPr>
                <w:highlight w:val="cyan"/>
              </w:rPr>
              <w:t xml:space="preserve">Durch die Schaffung der VR-Schnittstellen und der Parameterüberführung in das MW </w:t>
            </w:r>
            <w:r w:rsidR="001E1950" w:rsidRPr="00740383">
              <w:rPr>
                <w:highlight w:val="cyan"/>
              </w:rPr>
              <w:t>CAM</w:t>
            </w:r>
            <w:r w:rsidRPr="00740383">
              <w:rPr>
                <w:highlight w:val="cyan"/>
              </w:rPr>
              <w:t xml:space="preserve">-Plug-In wurde eine signifikante Verbesserung in der </w:t>
            </w:r>
            <w:r w:rsidRPr="00740383">
              <w:rPr>
                <w:highlight w:val="cyan"/>
                <w:lang/>
              </w:rPr>
              <w:t>Nutzerakzeptanz,</w:t>
            </w:r>
            <w:r w:rsidR="001E1950" w:rsidRPr="00740383">
              <w:rPr>
                <w:highlight w:val="cyan"/>
                <w:lang/>
              </w:rPr>
              <w:t>und</w:t>
            </w:r>
            <w:r w:rsidRPr="00740383">
              <w:rPr>
                <w:highlight w:val="cyan"/>
                <w:lang/>
              </w:rPr>
              <w:t xml:space="preserve"> eine vereinfachte Mitarbeiterqualifikation realisiert</w:t>
            </w:r>
            <w:r w:rsidR="001E1950" w:rsidRPr="00740383">
              <w:rPr>
                <w:highlight w:val="cyan"/>
                <w:lang/>
              </w:rPr>
              <w:t>, da die Werkzeugbahnplanung</w:t>
            </w:r>
            <w:r w:rsidR="000712E8" w:rsidRPr="00740383">
              <w:rPr>
                <w:highlight w:val="cyan"/>
                <w:lang/>
              </w:rPr>
              <w:t xml:space="preserve"> intuitiver gestaltet wurde. </w:t>
            </w:r>
            <w:r w:rsidR="001E1950" w:rsidRPr="00740383">
              <w:rPr>
                <w:highlight w:val="cyan"/>
                <w:lang/>
              </w:rPr>
              <w:t>Somit kann MW seine</w:t>
            </w:r>
            <w:r w:rsidRPr="00740383">
              <w:rPr>
                <w:highlight w:val="cyan"/>
                <w:lang/>
              </w:rPr>
              <w:t xml:space="preserve"> IKT-Marktposition durch ein innovatives </w:t>
            </w:r>
            <w:r w:rsidR="001E1950" w:rsidRPr="00740383">
              <w:rPr>
                <w:highlight w:val="cyan"/>
                <w:lang/>
              </w:rPr>
              <w:t xml:space="preserve">Bedienungskonzept </w:t>
            </w:r>
            <w:r w:rsidRPr="00740383">
              <w:rPr>
                <w:highlight w:val="cyan"/>
                <w:lang/>
              </w:rPr>
              <w:t>stärken. Die beteiligten KMU aus dem Bereich der Anwendung werden befähigt, auch zukünftig die rechnergestützte Prozessplanung zur Herstellung komplexer Produkte am Hochlohnstandort wirtschaftlich zu realisieren.</w:t>
            </w:r>
          </w:p>
          <w:p w14:paraId="2A0AA14C" w14:textId="04E0255E" w:rsidR="005C1989" w:rsidRPr="00740383" w:rsidRDefault="001E1950" w:rsidP="00190002">
            <w:pPr>
              <w:rPr>
                <w:highlight w:val="cyan"/>
              </w:rPr>
            </w:pPr>
            <w:r w:rsidRPr="00740383">
              <w:rPr>
                <w:highlight w:val="cyan"/>
                <w:lang/>
              </w:rPr>
              <w:t>Bei den in</w:t>
            </w:r>
            <w:r w:rsidR="00190002" w:rsidRPr="00740383">
              <w:rPr>
                <w:highlight w:val="cyan"/>
                <w:lang/>
              </w:rPr>
              <w:t xml:space="preserve"> CAMStylus</w:t>
            </w:r>
            <w:r w:rsidRPr="00740383">
              <w:rPr>
                <w:highlight w:val="cyan"/>
                <w:lang/>
              </w:rPr>
              <w:t xml:space="preserve"> entwickelten Softwarekomponenten</w:t>
            </w:r>
            <w:r w:rsidR="00190002" w:rsidRPr="00740383">
              <w:rPr>
                <w:highlight w:val="cyan"/>
                <w:lang/>
              </w:rPr>
              <w:t xml:space="preserve"> liegt</w:t>
            </w:r>
            <w:r w:rsidRPr="00740383">
              <w:rPr>
                <w:highlight w:val="cyan"/>
                <w:lang/>
              </w:rPr>
              <w:t xml:space="preserve"> der Fokus</w:t>
            </w:r>
            <w:r w:rsidR="00190002" w:rsidRPr="00740383">
              <w:rPr>
                <w:highlight w:val="cyan"/>
                <w:lang/>
              </w:rPr>
              <w:t xml:space="preserve"> auf den Förderschwerpunkten Usability bzw. Gebrauchstauglichkeit</w:t>
            </w:r>
            <w:r w:rsidR="000712E8" w:rsidRPr="00740383">
              <w:rPr>
                <w:highlight w:val="cyan"/>
                <w:lang/>
              </w:rPr>
              <w:t xml:space="preserve"> (VR-Schnittstelle)</w:t>
            </w:r>
            <w:r w:rsidR="00190002" w:rsidRPr="00740383">
              <w:rPr>
                <w:highlight w:val="cyan"/>
                <w:lang/>
              </w:rPr>
              <w:t>, Sicherheit und Zuverlässigkeit</w:t>
            </w:r>
            <w:r w:rsidR="000712E8" w:rsidRPr="00740383">
              <w:rPr>
                <w:highlight w:val="cyan"/>
                <w:lang/>
              </w:rPr>
              <w:t xml:space="preserve"> (Berechnung aus Trackingkoordinaten zu Werkzeugkoordinaten)</w:t>
            </w:r>
            <w:r w:rsidR="00190002" w:rsidRPr="00740383">
              <w:rPr>
                <w:highlight w:val="cyan"/>
                <w:lang/>
              </w:rPr>
              <w:t>, softwarebasierte eingebettete Systeme</w:t>
            </w:r>
            <w:r w:rsidR="000712E8" w:rsidRPr="00740383">
              <w:rPr>
                <w:highlight w:val="cyan"/>
                <w:lang/>
              </w:rPr>
              <w:t xml:space="preserve"> (alles eingebettet ins Machining Plug-In)</w:t>
            </w:r>
            <w:r w:rsidR="00190002" w:rsidRPr="00740383">
              <w:rPr>
                <w:highlight w:val="cyan"/>
                <w:lang/>
              </w:rPr>
              <w:t>, IT in der Produktion, sowie Simulation und Virtuelle Realität.</w:t>
            </w:r>
            <w:r w:rsidRPr="00740383">
              <w:rPr>
                <w:highlight w:val="cyan"/>
                <w:lang/>
              </w:rPr>
              <w:t xml:space="preserve"> </w:t>
            </w:r>
          </w:p>
        </w:tc>
      </w:tr>
      <w:tr w:rsidR="005C1989" w14:paraId="5BD9CDE4" w14:textId="77777777" w:rsidTr="007B6E31">
        <w:trPr>
          <w:trHeight w:val="1968"/>
        </w:trPr>
        <w:tc>
          <w:tcPr>
            <w:tcW w:w="2835" w:type="dxa"/>
          </w:tcPr>
          <w:p w14:paraId="013638BF" w14:textId="77777777" w:rsidR="001D101E" w:rsidRPr="00C566B8" w:rsidRDefault="005C1989" w:rsidP="00FE6CAC">
            <w:pPr>
              <w:numPr>
                <w:ilvl w:val="0"/>
                <w:numId w:val="1"/>
              </w:numPr>
              <w:tabs>
                <w:tab w:val="clear" w:pos="360"/>
              </w:tabs>
              <w:rPr>
                <w:rFonts w:cs="Arial"/>
              </w:rPr>
            </w:pPr>
            <w:r w:rsidRPr="00C566B8">
              <w:rPr>
                <w:rFonts w:cs="Arial"/>
              </w:rPr>
              <w:t>Wissenschaftlicher und/oder technischer Erfolg des Vorhabens, erreichte Nebenergebnisse und gesammelte wesentliche Erfahrungen</w:t>
            </w:r>
          </w:p>
        </w:tc>
        <w:tc>
          <w:tcPr>
            <w:tcW w:w="6733" w:type="dxa"/>
          </w:tcPr>
          <w:p w14:paraId="642365A2" w14:textId="2EF60A70" w:rsidR="005C1989" w:rsidRPr="00740383" w:rsidRDefault="001E1950">
            <w:pPr>
              <w:rPr>
                <w:highlight w:val="cyan"/>
              </w:rPr>
            </w:pPr>
            <w:r w:rsidRPr="00740383">
              <w:rPr>
                <w:highlight w:val="cyan"/>
              </w:rPr>
              <w:t xml:space="preserve">Alle in diesem Projekt entwickelten Softwarekomponenten wurden in das Gesamtsystem integriert und </w:t>
            </w:r>
            <w:r w:rsidR="000712E8" w:rsidRPr="00740383">
              <w:rPr>
                <w:highlight w:val="cyan"/>
              </w:rPr>
              <w:t>erfolgreich getestet (siehe Sachbericht</w:t>
            </w:r>
            <w:r w:rsidR="00680DA5" w:rsidRPr="00740383">
              <w:rPr>
                <w:highlight w:val="cyan"/>
              </w:rPr>
              <w:t xml:space="preserve"> zu Details</w:t>
            </w:r>
            <w:r w:rsidR="000712E8" w:rsidRPr="00740383">
              <w:rPr>
                <w:highlight w:val="cyan"/>
              </w:rPr>
              <w:t>):</w:t>
            </w:r>
          </w:p>
          <w:p w14:paraId="3CFEE94B" w14:textId="77777777" w:rsidR="00680DA5" w:rsidRPr="00740383" w:rsidRDefault="00680DA5" w:rsidP="00680DA5">
            <w:pPr>
              <w:pStyle w:val="ListParagraph"/>
              <w:numPr>
                <w:ilvl w:val="0"/>
                <w:numId w:val="3"/>
              </w:numPr>
              <w:jc w:val="both"/>
              <w:rPr>
                <w:rFonts w:ascii="Arial" w:hAnsi="Arial" w:cs="Arial"/>
                <w:highlight w:val="cyan"/>
              </w:rPr>
            </w:pPr>
            <w:r w:rsidRPr="00740383">
              <w:rPr>
                <w:rFonts w:ascii="Arial" w:hAnsi="Arial" w:cs="Arial"/>
                <w:highlight w:val="cyan"/>
              </w:rPr>
              <w:t>Die Erfassung des Trackingobjekts funktioniert bei erfahrenen Anwendern sehr robust, bei unerfahrenen Anwendern kommt es jedoch häufiger zu fehlenden Daten aufgrund von falscher Orientierung des Trackingobjekts.</w:t>
            </w:r>
          </w:p>
          <w:p w14:paraId="1A48BC3D" w14:textId="7D984FED" w:rsidR="00680DA5" w:rsidRPr="00740383" w:rsidRDefault="00680DA5" w:rsidP="00680DA5">
            <w:pPr>
              <w:pStyle w:val="ListParagraph"/>
              <w:numPr>
                <w:ilvl w:val="0"/>
                <w:numId w:val="3"/>
              </w:numPr>
              <w:jc w:val="both"/>
              <w:rPr>
                <w:rFonts w:ascii="Arial" w:hAnsi="Arial" w:cs="Arial"/>
                <w:b/>
                <w:bCs/>
                <w:highlight w:val="cyan"/>
              </w:rPr>
            </w:pPr>
            <w:r w:rsidRPr="00740383">
              <w:rPr>
                <w:rFonts w:ascii="Arial" w:hAnsi="Arial" w:cs="Arial"/>
                <w:b/>
                <w:bCs/>
                <w:highlight w:val="cyan"/>
              </w:rPr>
              <w:t xml:space="preserve">Die VR-Schnittstelle kann sowohl die zu bearbeitende Geometrie als auch die getrackten Positionen und Orientierungen in Echtzeit als Stereodarstellung anzeigen. Das getrackte Objekt wird dabei als Fräswerkzeug angezeigt. </w:t>
            </w:r>
          </w:p>
          <w:p w14:paraId="736A2967" w14:textId="77777777" w:rsidR="00680DA5" w:rsidRPr="00740383" w:rsidRDefault="00680DA5" w:rsidP="00680DA5">
            <w:pPr>
              <w:pStyle w:val="ListParagraph"/>
              <w:numPr>
                <w:ilvl w:val="0"/>
                <w:numId w:val="3"/>
              </w:numPr>
              <w:jc w:val="both"/>
              <w:rPr>
                <w:rFonts w:ascii="Arial" w:hAnsi="Arial" w:cs="Arial"/>
                <w:highlight w:val="cyan"/>
              </w:rPr>
            </w:pPr>
            <w:r w:rsidRPr="00740383">
              <w:rPr>
                <w:rFonts w:ascii="Arial" w:hAnsi="Arial" w:cs="Arial"/>
                <w:highlight w:val="cyan"/>
              </w:rPr>
              <w:t xml:space="preserve">Die Berechnung der </w:t>
            </w:r>
            <w:proofErr w:type="spellStart"/>
            <w:r w:rsidRPr="00740383">
              <w:rPr>
                <w:rFonts w:ascii="Arial" w:hAnsi="Arial" w:cs="Arial"/>
                <w:highlight w:val="cyan"/>
              </w:rPr>
              <w:t>Voxeldarstellung</w:t>
            </w:r>
            <w:proofErr w:type="spellEnd"/>
            <w:r w:rsidRPr="00740383">
              <w:rPr>
                <w:rFonts w:ascii="Arial" w:hAnsi="Arial" w:cs="Arial"/>
                <w:highlight w:val="cyan"/>
              </w:rPr>
              <w:t xml:space="preserve"> und die darauffolgende Anwendung der Neuronalen Netzwerke erkennt die CAM-Parameter mit den in AP 4.2 ermittelten Genauigkeiten.</w:t>
            </w:r>
          </w:p>
          <w:p w14:paraId="4AC34BEE" w14:textId="21639EDE" w:rsidR="00680DA5" w:rsidRPr="00740383" w:rsidRDefault="00680DA5" w:rsidP="00680DA5">
            <w:pPr>
              <w:pStyle w:val="ListParagraph"/>
              <w:numPr>
                <w:ilvl w:val="0"/>
                <w:numId w:val="3"/>
              </w:numPr>
              <w:jc w:val="both"/>
              <w:rPr>
                <w:rFonts w:ascii="Arial" w:hAnsi="Arial" w:cs="Arial"/>
                <w:b/>
                <w:bCs/>
                <w:highlight w:val="cyan"/>
              </w:rPr>
            </w:pPr>
            <w:r w:rsidRPr="00740383">
              <w:rPr>
                <w:rFonts w:ascii="Arial" w:hAnsi="Arial" w:cs="Arial"/>
                <w:b/>
                <w:bCs/>
                <w:highlight w:val="cyan"/>
              </w:rPr>
              <w:t>Das Übertragen der CAM-Parameter in den CAM-Berechnungskern funktioniert einwandfrei.</w:t>
            </w:r>
          </w:p>
          <w:p w14:paraId="75599BD5" w14:textId="77777777" w:rsidR="00680DA5" w:rsidRPr="00740383" w:rsidRDefault="00680DA5" w:rsidP="00680DA5">
            <w:pPr>
              <w:pStyle w:val="ListParagraph"/>
              <w:numPr>
                <w:ilvl w:val="0"/>
                <w:numId w:val="3"/>
              </w:numPr>
              <w:jc w:val="both"/>
              <w:rPr>
                <w:rFonts w:ascii="Arial" w:hAnsi="Arial" w:cs="Arial"/>
                <w:b/>
                <w:bCs/>
                <w:highlight w:val="cyan"/>
              </w:rPr>
            </w:pPr>
            <w:r w:rsidRPr="00740383">
              <w:rPr>
                <w:rFonts w:ascii="Arial" w:hAnsi="Arial" w:cs="Arial"/>
                <w:b/>
                <w:bCs/>
                <w:highlight w:val="cyan"/>
              </w:rPr>
              <w:t>Die Bahnberechnung des CAM-Systems funktioniert einwandfrei.</w:t>
            </w:r>
          </w:p>
          <w:p w14:paraId="182B9AAE" w14:textId="76FAB3BE" w:rsidR="00680DA5" w:rsidRPr="00740383" w:rsidRDefault="00680DA5" w:rsidP="008B7AF5">
            <w:pPr>
              <w:ind w:left="360"/>
              <w:jc w:val="both"/>
              <w:rPr>
                <w:highlight w:val="cyan"/>
              </w:rPr>
            </w:pPr>
            <w:r w:rsidRPr="00740383">
              <w:rPr>
                <w:rFonts w:cs="Arial"/>
                <w:b/>
                <w:bCs/>
                <w:highlight w:val="cyan"/>
              </w:rPr>
              <w:t>Die fettgedruckten Punkte w</w:t>
            </w:r>
            <w:r w:rsidR="000B4AC1" w:rsidRPr="00740383">
              <w:rPr>
                <w:rFonts w:cs="Arial"/>
                <w:b/>
                <w:bCs/>
                <w:highlight w:val="cyan"/>
              </w:rPr>
              <w:t>u</w:t>
            </w:r>
            <w:r w:rsidRPr="00740383">
              <w:rPr>
                <w:rFonts w:cs="Arial"/>
                <w:b/>
                <w:bCs/>
                <w:highlight w:val="cyan"/>
              </w:rPr>
              <w:t>rden von MW realisiert.</w:t>
            </w:r>
          </w:p>
        </w:tc>
      </w:tr>
      <w:tr w:rsidR="00800D5D" w14:paraId="775DEE92" w14:textId="77777777">
        <w:tc>
          <w:tcPr>
            <w:tcW w:w="2835" w:type="dxa"/>
          </w:tcPr>
          <w:p w14:paraId="4DBC9083" w14:textId="77777777" w:rsidR="00800D5D" w:rsidRPr="00C566B8" w:rsidRDefault="00800D5D">
            <w:pPr>
              <w:numPr>
                <w:ilvl w:val="0"/>
                <w:numId w:val="1"/>
              </w:numPr>
              <w:tabs>
                <w:tab w:val="clear" w:pos="360"/>
              </w:tabs>
              <w:rPr>
                <w:rFonts w:cs="Arial"/>
              </w:rPr>
            </w:pPr>
            <w:r w:rsidRPr="00C566B8">
              <w:rPr>
                <w:rFonts w:cs="Arial"/>
              </w:rPr>
              <w:t>Fortschreibung des Verwertungsplanes</w:t>
            </w:r>
          </w:p>
        </w:tc>
        <w:tc>
          <w:tcPr>
            <w:tcW w:w="6733" w:type="dxa"/>
          </w:tcPr>
          <w:p w14:paraId="2E4837FA" w14:textId="77777777" w:rsidR="003E1AEC" w:rsidRPr="00740383" w:rsidRDefault="003E1AEC" w:rsidP="003E1AEC">
            <w:pPr>
              <w:rPr>
                <w:rFonts w:cs="Arial"/>
                <w:highlight w:val="cyan"/>
                <w:lang/>
              </w:rPr>
            </w:pPr>
            <w:r w:rsidRPr="00740383">
              <w:rPr>
                <w:rFonts w:cs="Arial"/>
                <w:highlight w:val="cyan"/>
                <w:lang/>
              </w:rPr>
              <w:t xml:space="preserve">ModuleWorks wird im ersten Jahr nach dem Projektabschluss firmenintern mit der wirtschaftlichen Verwertung des Projektes beginnen. Dies beinhaltet die Zusammenarbeit mit den vertriebsrelevanten Abteilungen (wie Sales und Softwareintegration), damit der Industrietransfer vorbereitet werden kann. Diese Vorbereitungsphase ermöglicht, anschließend in den darauffolgenden beiden Jahren die Technologie auf Fachmessen und in </w:t>
            </w:r>
            <w:proofErr w:type="spellStart"/>
            <w:r w:rsidRPr="00740383">
              <w:rPr>
                <w:rFonts w:cs="Arial"/>
                <w:highlight w:val="cyan"/>
                <w:lang/>
              </w:rPr>
              <w:t>Kund:innengesprächen</w:t>
            </w:r>
            <w:proofErr w:type="spellEnd"/>
            <w:r w:rsidRPr="00740383">
              <w:rPr>
                <w:rFonts w:cs="Arial"/>
                <w:highlight w:val="cyan"/>
                <w:lang/>
              </w:rPr>
              <w:t xml:space="preserve"> einzubringen. Im Folgenden ist die Verwertung der Ergebnisse mit Zeithorizont dargestellt</w:t>
            </w:r>
            <w:r w:rsidRPr="00740383">
              <w:rPr>
                <w:rFonts w:cs="Arial"/>
                <w:highlight w:val="cyan"/>
                <w:lang/>
              </w:rPr>
              <w:t>:</w:t>
            </w:r>
          </w:p>
          <w:p w14:paraId="27B33D5F" w14:textId="40C0D161" w:rsidR="003E1AEC" w:rsidRPr="00740383" w:rsidRDefault="003E1AEC" w:rsidP="00EE646A">
            <w:pPr>
              <w:pStyle w:val="ListParagraph"/>
              <w:numPr>
                <w:ilvl w:val="0"/>
                <w:numId w:val="6"/>
              </w:numPr>
              <w:rPr>
                <w:rFonts w:ascii="Arial" w:hAnsi="Arial" w:cs="Arial"/>
                <w:highlight w:val="cyan"/>
                <w:lang/>
              </w:rPr>
            </w:pPr>
            <w:r w:rsidRPr="00740383">
              <w:rPr>
                <w:rFonts w:ascii="Arial" w:hAnsi="Arial" w:cs="Arial"/>
                <w:highlight w:val="cyan"/>
                <w:lang/>
              </w:rPr>
              <w:t xml:space="preserve">ModuleWorks wird sich mit kommerziellen CAM </w:t>
            </w:r>
            <w:r w:rsidRPr="00740383">
              <w:rPr>
                <w:rFonts w:ascii="Arial" w:hAnsi="Arial" w:cs="Arial"/>
                <w:highlight w:val="cyan"/>
                <w:lang/>
              </w:rPr>
              <w:t>Softwarelösung</w:t>
            </w:r>
            <w:proofErr w:type="spellStart"/>
            <w:r w:rsidRPr="00740383">
              <w:rPr>
                <w:rFonts w:ascii="Arial" w:hAnsi="Arial" w:cs="Arial"/>
                <w:highlight w:val="cyan"/>
                <w:lang/>
              </w:rPr>
              <w:t>sanbieter</w:t>
            </w:r>
            <w:proofErr w:type="spellEnd"/>
            <w:r w:rsidRPr="00740383">
              <w:rPr>
                <w:rFonts w:ascii="Arial" w:hAnsi="Arial" w:cs="Arial"/>
                <w:highlight w:val="cyan"/>
                <w:lang/>
              </w:rPr>
              <w:t xml:space="preserve"> setzen, um „</w:t>
            </w:r>
            <w:proofErr w:type="spellStart"/>
            <w:r w:rsidRPr="00740383">
              <w:rPr>
                <w:rFonts w:ascii="Arial" w:hAnsi="Arial" w:cs="Arial"/>
                <w:highlight w:val="cyan"/>
                <w:lang/>
              </w:rPr>
              <w:t>early</w:t>
            </w:r>
            <w:proofErr w:type="spellEnd"/>
            <w:r w:rsidRPr="00740383">
              <w:rPr>
                <w:rFonts w:ascii="Arial" w:hAnsi="Arial" w:cs="Arial"/>
                <w:highlight w:val="cyan"/>
                <w:lang/>
              </w:rPr>
              <w:t xml:space="preserve"> </w:t>
            </w:r>
            <w:proofErr w:type="spellStart"/>
            <w:r w:rsidRPr="00740383">
              <w:rPr>
                <w:rFonts w:ascii="Arial" w:hAnsi="Arial" w:cs="Arial"/>
                <w:highlight w:val="cyan"/>
                <w:lang/>
              </w:rPr>
              <w:t>adopters</w:t>
            </w:r>
            <w:proofErr w:type="spellEnd"/>
            <w:r w:rsidRPr="00740383">
              <w:rPr>
                <w:rFonts w:ascii="Arial" w:hAnsi="Arial" w:cs="Arial"/>
                <w:highlight w:val="cyan"/>
                <w:lang/>
              </w:rPr>
              <w:t xml:space="preserve">“ zu gewinnen </w:t>
            </w:r>
            <w:r w:rsidRPr="00740383">
              <w:rPr>
                <w:rFonts w:ascii="Arial" w:hAnsi="Arial" w:cs="Arial"/>
                <w:highlight w:val="cyan"/>
                <w:lang/>
              </w:rPr>
              <w:t>(</w:t>
            </w:r>
            <w:r w:rsidRPr="00740383">
              <w:rPr>
                <w:rFonts w:ascii="Arial" w:hAnsi="Arial" w:cs="Arial"/>
                <w:highlight w:val="cyan"/>
                <w:lang/>
              </w:rPr>
              <w:t>18</w:t>
            </w:r>
            <w:r w:rsidRPr="00740383">
              <w:rPr>
                <w:rFonts w:ascii="Arial" w:hAnsi="Arial" w:cs="Arial"/>
                <w:highlight w:val="cyan"/>
                <w:lang/>
              </w:rPr>
              <w:t xml:space="preserve"> Monate nach Projektende)</w:t>
            </w:r>
            <w:r w:rsidRPr="00740383">
              <w:rPr>
                <w:rFonts w:ascii="Arial" w:hAnsi="Arial" w:cs="Arial"/>
                <w:highlight w:val="cyan"/>
                <w:lang/>
              </w:rPr>
              <w:t>.</w:t>
            </w:r>
          </w:p>
          <w:p w14:paraId="64FA1188" w14:textId="41205841" w:rsidR="003E1AEC" w:rsidRPr="00740383" w:rsidRDefault="003E1AEC" w:rsidP="00EE646A">
            <w:pPr>
              <w:pStyle w:val="ListParagraph"/>
              <w:numPr>
                <w:ilvl w:val="0"/>
                <w:numId w:val="6"/>
              </w:numPr>
              <w:rPr>
                <w:rFonts w:ascii="Arial" w:hAnsi="Arial" w:cs="Arial"/>
                <w:highlight w:val="cyan"/>
                <w:lang/>
              </w:rPr>
            </w:pPr>
            <w:r w:rsidRPr="00740383">
              <w:rPr>
                <w:rFonts w:ascii="Arial" w:hAnsi="Arial" w:cs="Arial"/>
                <w:highlight w:val="cyan"/>
                <w:lang/>
              </w:rPr>
              <w:t>Beenden der Entwicklung von prototypischen Softwarebibliotheken, die in kommerziellen CAM Softwarelösungen integrierbar sind (24 Monate nach Projektende).</w:t>
            </w:r>
          </w:p>
          <w:p w14:paraId="5BE88098" w14:textId="0E7A3E15" w:rsidR="00EE646A" w:rsidRPr="00740383" w:rsidRDefault="00EE646A" w:rsidP="00EE646A">
            <w:pPr>
              <w:rPr>
                <w:rFonts w:cs="Arial"/>
                <w:highlight w:val="cyan"/>
                <w:lang/>
              </w:rPr>
            </w:pPr>
            <w:r w:rsidRPr="00740383">
              <w:rPr>
                <w:rFonts w:cs="Arial"/>
                <w:highlight w:val="cyan"/>
                <w:lang/>
              </w:rPr>
              <w:t xml:space="preserve">Es ist eine Neueinstellung von </w:t>
            </w:r>
            <w:r w:rsidR="008B7AF5" w:rsidRPr="00740383">
              <w:rPr>
                <w:rFonts w:cs="Arial"/>
                <w:highlight w:val="cyan"/>
              </w:rPr>
              <w:t>0.5</w:t>
            </w:r>
            <w:r w:rsidRPr="00740383">
              <w:rPr>
                <w:rFonts w:cs="Arial"/>
                <w:highlight w:val="cyan"/>
                <w:lang/>
              </w:rPr>
              <w:t xml:space="preserve"> neue</w:t>
            </w:r>
            <w:r w:rsidR="008B7AF5" w:rsidRPr="00740383">
              <w:rPr>
                <w:rFonts w:cs="Arial"/>
                <w:highlight w:val="cyan"/>
              </w:rPr>
              <w:t>n</w:t>
            </w:r>
            <w:r w:rsidRPr="00740383">
              <w:rPr>
                <w:rFonts w:cs="Arial"/>
                <w:highlight w:val="cyan"/>
                <w:lang/>
              </w:rPr>
              <w:t xml:space="preserve"> </w:t>
            </w:r>
            <w:r w:rsidR="008B7AF5" w:rsidRPr="00740383">
              <w:rPr>
                <w:rFonts w:cs="Arial"/>
                <w:highlight w:val="cyan"/>
              </w:rPr>
              <w:t>FTE</w:t>
            </w:r>
            <w:r w:rsidRPr="00740383">
              <w:rPr>
                <w:rFonts w:cs="Arial"/>
                <w:highlight w:val="cyan"/>
                <w:lang/>
              </w:rPr>
              <w:t xml:space="preserve"> geplant, welche für die Entwicklung und den</w:t>
            </w:r>
            <w:r w:rsidR="008B7AF5" w:rsidRPr="00740383">
              <w:rPr>
                <w:rFonts w:cs="Arial"/>
                <w:highlight w:val="cyan"/>
              </w:rPr>
              <w:t xml:space="preserve"> </w:t>
            </w:r>
            <w:r w:rsidRPr="00740383">
              <w:rPr>
                <w:rFonts w:cs="Arial"/>
                <w:highlight w:val="cyan"/>
                <w:lang/>
              </w:rPr>
              <w:t>Support Softwarekomponente eingestellt werden.</w:t>
            </w:r>
          </w:p>
          <w:p w14:paraId="5600CA4E" w14:textId="5ECCF4C5" w:rsidR="00EE646A" w:rsidRPr="00740383" w:rsidRDefault="00EE646A" w:rsidP="008B7AF5">
            <w:pPr>
              <w:rPr>
                <w:highlight w:val="cyan"/>
              </w:rPr>
            </w:pPr>
            <w:r w:rsidRPr="00740383">
              <w:rPr>
                <w:rFonts w:cs="Arial"/>
                <w:highlight w:val="cyan"/>
                <w:lang/>
              </w:rPr>
              <w:t>Die erwartete mögliche Umsatzsteigerung</w:t>
            </w:r>
            <w:r w:rsidR="008B7AF5" w:rsidRPr="00740383">
              <w:rPr>
                <w:rFonts w:cs="Arial"/>
                <w:highlight w:val="cyan"/>
              </w:rPr>
              <w:t xml:space="preserve"> </w:t>
            </w:r>
            <w:r w:rsidRPr="00740383">
              <w:rPr>
                <w:rFonts w:cs="Arial"/>
                <w:highlight w:val="cyan"/>
                <w:lang/>
              </w:rPr>
              <w:t>liegt</w:t>
            </w:r>
            <w:r w:rsidR="008B7AF5" w:rsidRPr="00740383">
              <w:rPr>
                <w:rFonts w:cs="Arial"/>
                <w:highlight w:val="cyan"/>
              </w:rPr>
              <w:t xml:space="preserve"> </w:t>
            </w:r>
            <w:r w:rsidRPr="00740383">
              <w:rPr>
                <w:rFonts w:cs="Arial"/>
                <w:highlight w:val="cyan"/>
                <w:lang/>
              </w:rPr>
              <w:t xml:space="preserve">bei ca. </w:t>
            </w:r>
            <w:r w:rsidR="008B7AF5" w:rsidRPr="00740383">
              <w:rPr>
                <w:rFonts w:cs="Arial"/>
                <w:highlight w:val="cyan"/>
              </w:rPr>
              <w:t>50.000</w:t>
            </w:r>
            <w:r w:rsidR="008B7AF5" w:rsidRPr="00740383">
              <w:rPr>
                <w:rFonts w:cs="Arial"/>
                <w:highlight w:val="cyan"/>
                <w:lang/>
              </w:rPr>
              <w:t>€</w:t>
            </w:r>
            <w:r w:rsidR="008B7AF5" w:rsidRPr="00740383">
              <w:rPr>
                <w:rFonts w:cs="Arial"/>
                <w:highlight w:val="cyan"/>
              </w:rPr>
              <w:t xml:space="preserve">/Jahr beim </w:t>
            </w:r>
            <w:r w:rsidR="00600935" w:rsidRPr="00740383">
              <w:rPr>
                <w:rFonts w:cs="Arial"/>
                <w:highlight w:val="cyan"/>
              </w:rPr>
              <w:t xml:space="preserve">Jahr </w:t>
            </w:r>
            <w:r w:rsidR="008B7AF5" w:rsidRPr="00740383">
              <w:rPr>
                <w:rFonts w:cs="Arial"/>
                <w:highlight w:val="cyan"/>
              </w:rPr>
              <w:t xml:space="preserve">2027 (100 Lizenzen mit </w:t>
            </w:r>
            <w:r w:rsidR="008B7AF5" w:rsidRPr="00740383">
              <w:rPr>
                <w:rFonts w:cs="Arial"/>
                <w:highlight w:val="cyan"/>
                <w:lang/>
              </w:rPr>
              <w:t>Lizenzgebühr</w:t>
            </w:r>
            <w:r w:rsidR="008B7AF5" w:rsidRPr="00740383">
              <w:rPr>
                <w:rFonts w:cs="Arial"/>
                <w:highlight w:val="cyan"/>
              </w:rPr>
              <w:t xml:space="preserve"> von 5</w:t>
            </w:r>
            <w:r w:rsidR="008B7AF5" w:rsidRPr="00740383">
              <w:rPr>
                <w:rFonts w:cs="Arial"/>
                <w:highlight w:val="cyan"/>
                <w:lang/>
              </w:rPr>
              <w:t>00 €</w:t>
            </w:r>
            <w:r w:rsidR="008B7AF5" w:rsidRPr="00740383">
              <w:rPr>
                <w:rFonts w:cs="Arial"/>
                <w:highlight w:val="cyan"/>
              </w:rPr>
              <w:t>).</w:t>
            </w:r>
          </w:p>
        </w:tc>
      </w:tr>
      <w:tr w:rsidR="005C1989" w14:paraId="3A2CC6B6" w14:textId="77777777">
        <w:tc>
          <w:tcPr>
            <w:tcW w:w="2835" w:type="dxa"/>
          </w:tcPr>
          <w:p w14:paraId="699647E1" w14:textId="77777777" w:rsidR="005C1989" w:rsidRPr="00C566B8" w:rsidRDefault="00800D5D" w:rsidP="007B6E31">
            <w:pPr>
              <w:rPr>
                <w:rFonts w:cs="Arial"/>
              </w:rPr>
            </w:pPr>
            <w:r w:rsidRPr="00C566B8">
              <w:rPr>
                <w:rFonts w:cs="Arial"/>
                <w:u w:val="single"/>
              </w:rPr>
              <w:lastRenderedPageBreak/>
              <w:t>3a.</w:t>
            </w:r>
            <w:r w:rsidRPr="00C566B8">
              <w:rPr>
                <w:rFonts w:cs="Arial"/>
              </w:rPr>
              <w:t xml:space="preserve"> </w:t>
            </w:r>
            <w:r w:rsidR="005C1989" w:rsidRPr="00C566B8">
              <w:rPr>
                <w:rFonts w:cs="Arial"/>
              </w:rPr>
              <w:t>Vom Zuwendungsemp</w:t>
            </w:r>
            <w:r w:rsidR="00761C06" w:rsidRPr="00C566B8">
              <w:rPr>
                <w:rFonts w:cs="Arial"/>
              </w:rPr>
              <w:t xml:space="preserve">fänger </w:t>
            </w:r>
            <w:r w:rsidR="005C1989" w:rsidRPr="00C566B8">
              <w:rPr>
                <w:rFonts w:cs="Arial"/>
              </w:rPr>
              <w:t>oder von am Vorhaben Beteiligte</w:t>
            </w:r>
            <w:r w:rsidR="007B6E31" w:rsidRPr="00C566B8">
              <w:rPr>
                <w:rFonts w:cs="Arial"/>
              </w:rPr>
              <w:t>r</w:t>
            </w:r>
            <w:r w:rsidR="005C1989" w:rsidRPr="00C566B8">
              <w:rPr>
                <w:rFonts w:cs="Arial"/>
              </w:rPr>
              <w:t xml:space="preserve"> gemachte oder in Anspruch genommene Erfindungen, Schutzrechtsanmeldungen und erteilten Schutzrechte sowie deren </w:t>
            </w:r>
            <w:r w:rsidR="007B6E31" w:rsidRPr="00C566B8">
              <w:rPr>
                <w:rFonts w:cs="Arial"/>
              </w:rPr>
              <w:t xml:space="preserve">erkennbare </w:t>
            </w:r>
            <w:r w:rsidR="005C1989" w:rsidRPr="00C566B8">
              <w:rPr>
                <w:rFonts w:cs="Arial"/>
              </w:rPr>
              <w:t>Verwertung</w:t>
            </w:r>
          </w:p>
        </w:tc>
        <w:tc>
          <w:tcPr>
            <w:tcW w:w="6733" w:type="dxa"/>
          </w:tcPr>
          <w:p w14:paraId="455071DB" w14:textId="68DF87BA" w:rsidR="005C1989" w:rsidRPr="00740383" w:rsidRDefault="00680DA5">
            <w:pPr>
              <w:rPr>
                <w:highlight w:val="cyan"/>
              </w:rPr>
            </w:pPr>
            <w:r w:rsidRPr="00740383">
              <w:rPr>
                <w:highlight w:val="cyan"/>
              </w:rPr>
              <w:t xml:space="preserve">Im Projekt wurden von MW keine Patente oder Schutzrechte angemeldet. </w:t>
            </w:r>
          </w:p>
        </w:tc>
      </w:tr>
      <w:tr w:rsidR="00800D5D" w14:paraId="231E5C53" w14:textId="77777777">
        <w:tc>
          <w:tcPr>
            <w:tcW w:w="2835" w:type="dxa"/>
          </w:tcPr>
          <w:p w14:paraId="62CFFA06" w14:textId="77777777" w:rsidR="00800D5D" w:rsidRPr="00C566B8" w:rsidRDefault="00800D5D" w:rsidP="00C566B8">
            <w:pPr>
              <w:autoSpaceDE w:val="0"/>
              <w:autoSpaceDN w:val="0"/>
              <w:adjustRightInd w:val="0"/>
              <w:snapToGrid w:val="0"/>
              <w:rPr>
                <w:rFonts w:cs="Arial"/>
              </w:rPr>
            </w:pPr>
            <w:r w:rsidRPr="00C566B8">
              <w:rPr>
                <w:rFonts w:cs="Arial"/>
                <w:u w:val="single"/>
              </w:rPr>
              <w:t>3b.</w:t>
            </w:r>
            <w:r w:rsidRPr="00C566B8">
              <w:rPr>
                <w:rFonts w:cs="Arial"/>
                <w:color w:val="000000"/>
                <w:lang w:val="x-none"/>
              </w:rPr>
              <w:t xml:space="preserve"> Wirtschaftliche Erfolgsaussichten nach </w:t>
            </w:r>
            <w:r w:rsidR="007B6E31" w:rsidRPr="00C566B8">
              <w:rPr>
                <w:rFonts w:cs="Arial"/>
                <w:color w:val="000000"/>
              </w:rPr>
              <w:t>Projektende</w:t>
            </w:r>
            <w:r w:rsidRPr="00C566B8">
              <w:rPr>
                <w:rFonts w:cs="Arial"/>
                <w:color w:val="000000"/>
                <w:lang w:val="x-none"/>
              </w:rPr>
              <w:t xml:space="preserve"> (mit Zeithorizont) - z.B. auch</w:t>
            </w:r>
            <w:r w:rsidRPr="00C566B8">
              <w:rPr>
                <w:rFonts w:cs="Arial"/>
                <w:color w:val="000000"/>
              </w:rPr>
              <w:t xml:space="preserve"> </w:t>
            </w:r>
            <w:r w:rsidRPr="00C566B8">
              <w:rPr>
                <w:rFonts w:cs="Arial"/>
                <w:color w:val="000000"/>
                <w:lang w:val="x-none"/>
              </w:rPr>
              <w:t>funktionale/wirtschaftliche Vorteile gegenüber Konkurrenzlösungen, Nutzen für</w:t>
            </w:r>
            <w:r w:rsidRPr="00C566B8">
              <w:rPr>
                <w:rFonts w:cs="Arial"/>
                <w:color w:val="000000"/>
              </w:rPr>
              <w:t xml:space="preserve"> </w:t>
            </w:r>
            <w:r w:rsidRPr="00C566B8">
              <w:rPr>
                <w:rFonts w:cs="Arial"/>
                <w:color w:val="000000"/>
                <w:lang w:val="x-none"/>
              </w:rPr>
              <w:t xml:space="preserve">verschiedene Anwendergruppen/ </w:t>
            </w:r>
            <w:r w:rsidR="001D101E" w:rsidRPr="00C566B8">
              <w:rPr>
                <w:rFonts w:cs="Arial"/>
                <w:color w:val="000000"/>
              </w:rPr>
              <w:t>-</w:t>
            </w:r>
            <w:r w:rsidRPr="00C566B8">
              <w:rPr>
                <w:rFonts w:cs="Arial"/>
                <w:color w:val="000000"/>
                <w:lang w:val="x-none"/>
              </w:rPr>
              <w:t>industrien am Standort Deutschland, Umsetzungs- und</w:t>
            </w:r>
            <w:r w:rsidRPr="00C566B8">
              <w:rPr>
                <w:rFonts w:cs="Arial"/>
                <w:color w:val="000000"/>
              </w:rPr>
              <w:t xml:space="preserve"> </w:t>
            </w:r>
            <w:r w:rsidRPr="00C566B8">
              <w:rPr>
                <w:rFonts w:cs="Arial"/>
                <w:color w:val="000000"/>
                <w:lang w:val="x-none"/>
              </w:rPr>
              <w:t>Transferstrategien</w:t>
            </w:r>
          </w:p>
        </w:tc>
        <w:tc>
          <w:tcPr>
            <w:tcW w:w="6733" w:type="dxa"/>
          </w:tcPr>
          <w:p w14:paraId="5FB7A413" w14:textId="3FF2BA81" w:rsidR="00800D5D" w:rsidRPr="00740383" w:rsidRDefault="00680DA5">
            <w:pPr>
              <w:rPr>
                <w:highlight w:val="cyan"/>
              </w:rPr>
            </w:pPr>
            <w:r w:rsidRPr="00740383">
              <w:rPr>
                <w:highlight w:val="cyan"/>
              </w:rPr>
              <w:t xml:space="preserve">In diesem </w:t>
            </w:r>
            <w:r w:rsidR="00A11309" w:rsidRPr="00740383">
              <w:rPr>
                <w:highlight w:val="cyan"/>
              </w:rPr>
              <w:t>Projekt</w:t>
            </w:r>
            <w:r w:rsidRPr="00740383">
              <w:rPr>
                <w:highlight w:val="cyan"/>
              </w:rPr>
              <w:t xml:space="preserve"> wurde erfolgreich eine VR-Schnittstelle </w:t>
            </w:r>
            <w:r w:rsidR="00A11309" w:rsidRPr="00740383">
              <w:rPr>
                <w:highlight w:val="cyan"/>
              </w:rPr>
              <w:t>und eine Übertragung von KI-ermittelten Werten in die CAM SW implementiert. Die VR-Schnittstelle kann nun unseren Kunden präsentiert werden. Unsere Kunden sind im Moment sehr an Cloud-, KI- und Automatisierungslösungen</w:t>
            </w:r>
            <w:r w:rsidR="00686EC6" w:rsidRPr="00740383">
              <w:rPr>
                <w:highlight w:val="cyan"/>
              </w:rPr>
              <w:t xml:space="preserve"> interessiert. </w:t>
            </w:r>
            <w:r w:rsidR="00400EE3" w:rsidRPr="00740383">
              <w:rPr>
                <w:highlight w:val="cyan"/>
              </w:rPr>
              <w:t>In zwei Jahren werden wir mit den 3 größten Kunden (zur</w:t>
            </w:r>
            <w:r w:rsidR="00805C89" w:rsidRPr="00740383">
              <w:rPr>
                <w:highlight w:val="cyan"/>
              </w:rPr>
              <w:t xml:space="preserve"> </w:t>
            </w:r>
            <w:r w:rsidR="00400EE3" w:rsidRPr="00740383">
              <w:rPr>
                <w:highlight w:val="cyan"/>
              </w:rPr>
              <w:t xml:space="preserve">Zeit </w:t>
            </w:r>
            <w:proofErr w:type="spellStart"/>
            <w:r w:rsidR="00400EE3" w:rsidRPr="00740383">
              <w:rPr>
                <w:highlight w:val="cyan"/>
              </w:rPr>
              <w:t>Ma</w:t>
            </w:r>
            <w:r w:rsidR="00805C89" w:rsidRPr="00740383">
              <w:rPr>
                <w:highlight w:val="cyan"/>
              </w:rPr>
              <w:t>st</w:t>
            </w:r>
            <w:r w:rsidR="00400EE3" w:rsidRPr="00740383">
              <w:rPr>
                <w:highlight w:val="cyan"/>
              </w:rPr>
              <w:t>erCam</w:t>
            </w:r>
            <w:proofErr w:type="spellEnd"/>
            <w:r w:rsidR="00400EE3" w:rsidRPr="00740383">
              <w:rPr>
                <w:highlight w:val="cyan"/>
              </w:rPr>
              <w:t>, Autodesk und PTC</w:t>
            </w:r>
            <w:r w:rsidR="00805C89" w:rsidRPr="00740383">
              <w:rPr>
                <w:highlight w:val="cyan"/>
              </w:rPr>
              <w:t>) eine Evaluierung die VR-Schnittstelle durchführen. Die KI-Übertragungsschicht wird nun auf andere Software-Komponenten in MW Portfolio (</w:t>
            </w:r>
            <w:proofErr w:type="spellStart"/>
            <w:r w:rsidR="00805C89" w:rsidRPr="00740383">
              <w:rPr>
                <w:highlight w:val="cyan"/>
              </w:rPr>
              <w:t>TemplateCAM</w:t>
            </w:r>
            <w:proofErr w:type="spellEnd"/>
            <w:r w:rsidR="00805C89" w:rsidRPr="00740383">
              <w:rPr>
                <w:highlight w:val="cyan"/>
              </w:rPr>
              <w:t xml:space="preserve">, Feature Awareness Core, Clean </w:t>
            </w:r>
            <w:proofErr w:type="spellStart"/>
            <w:r w:rsidR="00805C89" w:rsidRPr="00740383">
              <w:rPr>
                <w:highlight w:val="cyan"/>
              </w:rPr>
              <w:t>Aligner</w:t>
            </w:r>
            <w:proofErr w:type="spellEnd"/>
            <w:r w:rsidR="00805C89" w:rsidRPr="00740383">
              <w:rPr>
                <w:highlight w:val="cyan"/>
              </w:rPr>
              <w:t xml:space="preserve">) übertragen. Das wurde bereits gestartet und wird in 24 Monaten evaluiert und </w:t>
            </w:r>
            <w:r w:rsidR="00A17684" w:rsidRPr="00740383">
              <w:rPr>
                <w:highlight w:val="cyan"/>
              </w:rPr>
              <w:t>in Umsatzzahlen bewertet</w:t>
            </w:r>
            <w:r w:rsidR="00805C89" w:rsidRPr="00740383">
              <w:rPr>
                <w:highlight w:val="cyan"/>
              </w:rPr>
              <w:t>.</w:t>
            </w:r>
          </w:p>
        </w:tc>
      </w:tr>
      <w:tr w:rsidR="00761C06" w14:paraId="197D47B6" w14:textId="77777777" w:rsidTr="007B6E31">
        <w:trPr>
          <w:trHeight w:val="3265"/>
        </w:trPr>
        <w:tc>
          <w:tcPr>
            <w:tcW w:w="2835" w:type="dxa"/>
          </w:tcPr>
          <w:p w14:paraId="5EC89373" w14:textId="77777777" w:rsidR="00761C06" w:rsidRPr="00C566B8" w:rsidRDefault="00761C06" w:rsidP="007B6E31">
            <w:pPr>
              <w:autoSpaceDE w:val="0"/>
              <w:autoSpaceDN w:val="0"/>
              <w:adjustRightInd w:val="0"/>
              <w:snapToGrid w:val="0"/>
              <w:rPr>
                <w:rFonts w:cs="Arial"/>
                <w:color w:val="000000"/>
              </w:rPr>
            </w:pPr>
            <w:r w:rsidRPr="00C566B8">
              <w:rPr>
                <w:rFonts w:cs="Arial"/>
                <w:color w:val="000000"/>
                <w:u w:val="single"/>
                <w:lang w:val="x-none"/>
              </w:rPr>
              <w:t>3c.</w:t>
            </w:r>
            <w:r w:rsidRPr="00C566B8">
              <w:rPr>
                <w:rFonts w:cs="Arial"/>
                <w:color w:val="000000"/>
                <w:lang w:val="x-none"/>
              </w:rPr>
              <w:t xml:space="preserve"> Wissenschaftliche und/oder technische Erfolgsaussichten nach Projektende (mit Zeit</w:t>
            </w:r>
            <w:r w:rsidR="007B6E31" w:rsidRPr="00C566B8">
              <w:rPr>
                <w:rFonts w:cs="Arial"/>
                <w:color w:val="000000"/>
              </w:rPr>
              <w:t>-</w:t>
            </w:r>
            <w:r w:rsidRPr="00C566B8">
              <w:rPr>
                <w:rFonts w:cs="Arial"/>
                <w:color w:val="000000"/>
                <w:lang w:val="x-none"/>
              </w:rPr>
              <w:t>horizont) - u. a. wie die geplanten</w:t>
            </w:r>
            <w:r w:rsidR="007B6E31" w:rsidRPr="00C566B8">
              <w:rPr>
                <w:rFonts w:cs="Arial"/>
                <w:color w:val="000000"/>
              </w:rPr>
              <w:t xml:space="preserve"> </w:t>
            </w:r>
            <w:r w:rsidRPr="00C566B8">
              <w:rPr>
                <w:rFonts w:cs="Arial"/>
                <w:color w:val="000000"/>
                <w:lang w:val="x-none"/>
              </w:rPr>
              <w:t>Ergebnisse in anderer Weise (z. B. für öffentliche Aufgaben, Datenbanken, Netzwerke, Transferstellen</w:t>
            </w:r>
            <w:r w:rsidR="007B6E31" w:rsidRPr="00C566B8">
              <w:rPr>
                <w:rFonts w:cs="Arial"/>
                <w:color w:val="000000"/>
              </w:rPr>
              <w:t xml:space="preserve"> </w:t>
            </w:r>
            <w:r w:rsidRPr="00C566B8">
              <w:rPr>
                <w:rFonts w:cs="Arial"/>
                <w:color w:val="000000"/>
                <w:lang w:val="x-none"/>
              </w:rPr>
              <w:t>etc.) genutzt werden können. Dabei ist auch eine etwaige Zusammenarbeit mit anderen Einrichtungen, Firmen,</w:t>
            </w:r>
            <w:r w:rsidR="007B6E31" w:rsidRPr="00C566B8">
              <w:rPr>
                <w:rFonts w:cs="Arial"/>
                <w:color w:val="000000"/>
              </w:rPr>
              <w:t xml:space="preserve"> </w:t>
            </w:r>
            <w:r w:rsidRPr="00C566B8">
              <w:rPr>
                <w:rFonts w:cs="Arial"/>
                <w:color w:val="000000"/>
                <w:lang w:val="x-none"/>
              </w:rPr>
              <w:t>Netzwerken, Forsch</w:t>
            </w:r>
            <w:r w:rsidR="00D316D5" w:rsidRPr="00C566B8">
              <w:rPr>
                <w:rFonts w:cs="Arial"/>
                <w:color w:val="000000"/>
                <w:lang w:val="x-none"/>
              </w:rPr>
              <w:t>ungsstellen u. a. einzubeziehen</w:t>
            </w:r>
          </w:p>
        </w:tc>
        <w:tc>
          <w:tcPr>
            <w:tcW w:w="6733" w:type="dxa"/>
          </w:tcPr>
          <w:p w14:paraId="511DE49C" w14:textId="55082A6A" w:rsidR="00A17684" w:rsidRPr="00740383" w:rsidRDefault="00A17684">
            <w:pPr>
              <w:rPr>
                <w:highlight w:val="cyan"/>
              </w:rPr>
            </w:pPr>
            <w:r w:rsidRPr="00740383">
              <w:rPr>
                <w:highlight w:val="cyan"/>
              </w:rPr>
              <w:t xml:space="preserve">Seit 2024 ist MW teil des </w:t>
            </w:r>
            <w:proofErr w:type="spellStart"/>
            <w:r w:rsidRPr="00740383">
              <w:rPr>
                <w:highlight w:val="cyan"/>
              </w:rPr>
              <w:t>Innovationsneztwerkes</w:t>
            </w:r>
            <w:proofErr w:type="spellEnd"/>
            <w:r w:rsidRPr="00740383">
              <w:rPr>
                <w:highlight w:val="cyan"/>
              </w:rPr>
              <w:t xml:space="preserve"> „INTSPA“, wo es um „KI in der Zerspannung“ geht. Dort werden wir die Ergebnisse von „</w:t>
            </w:r>
            <w:proofErr w:type="spellStart"/>
            <w:r w:rsidRPr="00740383">
              <w:rPr>
                <w:highlight w:val="cyan"/>
              </w:rPr>
              <w:t>CamStylus</w:t>
            </w:r>
            <w:proofErr w:type="spellEnd"/>
            <w:r w:rsidRPr="00740383">
              <w:rPr>
                <w:highlight w:val="cyan"/>
              </w:rPr>
              <w:t>“ präsentieren. Außerdem werden diese auf der nächsten ModuleWorks Insider Konferenz vorgestellt.</w:t>
            </w:r>
          </w:p>
          <w:p w14:paraId="4FCD7E90" w14:textId="2CABD8EA" w:rsidR="00761C06" w:rsidRPr="00740383" w:rsidRDefault="00A17684">
            <w:pPr>
              <w:rPr>
                <w:highlight w:val="cyan"/>
              </w:rPr>
            </w:pPr>
            <w:r w:rsidRPr="00740383">
              <w:rPr>
                <w:highlight w:val="cyan"/>
              </w:rPr>
              <w:t>Die Ergebnisse von „</w:t>
            </w:r>
            <w:proofErr w:type="spellStart"/>
            <w:r w:rsidRPr="00740383">
              <w:rPr>
                <w:highlight w:val="cyan"/>
              </w:rPr>
              <w:t>CAMStylus</w:t>
            </w:r>
            <w:proofErr w:type="spellEnd"/>
            <w:r w:rsidRPr="00740383">
              <w:rPr>
                <w:highlight w:val="cyan"/>
              </w:rPr>
              <w:t>“ werden direkt in das Kompetenzzentrum „</w:t>
            </w:r>
            <w:proofErr w:type="spellStart"/>
            <w:r w:rsidRPr="00740383">
              <w:rPr>
                <w:highlight w:val="cyan"/>
              </w:rPr>
              <w:t>Digitaller</w:t>
            </w:r>
            <w:proofErr w:type="spellEnd"/>
            <w:r w:rsidRPr="00740383">
              <w:rPr>
                <w:highlight w:val="cyan"/>
              </w:rPr>
              <w:t xml:space="preserve"> Zwilling“, dessen Einrichtung nächstes Jahr (2025) beginnen wird, einfließen.</w:t>
            </w:r>
          </w:p>
        </w:tc>
      </w:tr>
      <w:tr w:rsidR="00800D5D" w14:paraId="53507D6F" w14:textId="77777777" w:rsidTr="007B6E31">
        <w:trPr>
          <w:trHeight w:val="1750"/>
        </w:trPr>
        <w:tc>
          <w:tcPr>
            <w:tcW w:w="2835" w:type="dxa"/>
          </w:tcPr>
          <w:p w14:paraId="7634CC15" w14:textId="77777777" w:rsidR="00800D5D" w:rsidRPr="00C566B8" w:rsidRDefault="00761C06" w:rsidP="00FE6CAC">
            <w:pPr>
              <w:rPr>
                <w:rFonts w:cs="Arial"/>
              </w:rPr>
            </w:pPr>
            <w:r w:rsidRPr="00C566B8">
              <w:rPr>
                <w:rFonts w:cs="Arial"/>
                <w:u w:val="single"/>
              </w:rPr>
              <w:t>3d</w:t>
            </w:r>
            <w:r w:rsidR="00800D5D" w:rsidRPr="00C566B8">
              <w:rPr>
                <w:rFonts w:cs="Arial"/>
                <w:u w:val="single"/>
              </w:rPr>
              <w:t>.</w:t>
            </w:r>
            <w:r w:rsidR="00800D5D" w:rsidRPr="00C566B8">
              <w:rPr>
                <w:rFonts w:cs="Arial"/>
              </w:rPr>
              <w:t xml:space="preserve"> Wissenschaftliche und wirtschaftliche Anschlussfähigkeit für eine mögliche nächste Phase bzw. die nächsten innovatorischen Schritte</w:t>
            </w:r>
          </w:p>
        </w:tc>
        <w:tc>
          <w:tcPr>
            <w:tcW w:w="6733" w:type="dxa"/>
          </w:tcPr>
          <w:p w14:paraId="7F6EC740" w14:textId="1DAABF07" w:rsidR="00800D5D" w:rsidRPr="00740383" w:rsidRDefault="00A17684">
            <w:pPr>
              <w:rPr>
                <w:highlight w:val="cyan"/>
              </w:rPr>
            </w:pPr>
            <w:r w:rsidRPr="00740383">
              <w:rPr>
                <w:highlight w:val="cyan"/>
              </w:rPr>
              <w:t xml:space="preserve">Mit dem Abschluss der </w:t>
            </w:r>
            <w:proofErr w:type="spellStart"/>
            <w:r w:rsidRPr="00740383">
              <w:rPr>
                <w:highlight w:val="cyan"/>
              </w:rPr>
              <w:t>CAMstylus</w:t>
            </w:r>
            <w:proofErr w:type="spellEnd"/>
            <w:r w:rsidRPr="00740383">
              <w:rPr>
                <w:highlight w:val="cyan"/>
              </w:rPr>
              <w:t xml:space="preserve"> werden wir auf den VR-Lehrstuhl der RWTH Aachen zugehen und sehen, ob sich diese Ergebnisse in eine Gaming-VR Um</w:t>
            </w:r>
            <w:r w:rsidR="000B4AC1" w:rsidRPr="00740383">
              <w:rPr>
                <w:highlight w:val="cyan"/>
              </w:rPr>
              <w:t>g</w:t>
            </w:r>
            <w:r w:rsidRPr="00740383">
              <w:rPr>
                <w:highlight w:val="cyan"/>
              </w:rPr>
              <w:t>ebung übertragen lassen</w:t>
            </w:r>
            <w:r w:rsidR="000B4AC1" w:rsidRPr="00740383">
              <w:rPr>
                <w:highlight w:val="cyan"/>
              </w:rPr>
              <w:t xml:space="preserve"> (Mitte 2025)</w:t>
            </w:r>
            <w:r w:rsidRPr="00740383">
              <w:rPr>
                <w:highlight w:val="cyan"/>
              </w:rPr>
              <w:t>.</w:t>
            </w:r>
          </w:p>
          <w:p w14:paraId="62863FF5" w14:textId="60CA9EBF" w:rsidR="00A17684" w:rsidRPr="00740383" w:rsidRDefault="00A17684">
            <w:pPr>
              <w:rPr>
                <w:highlight w:val="cyan"/>
              </w:rPr>
            </w:pPr>
            <w:r w:rsidRPr="00740383">
              <w:rPr>
                <w:highlight w:val="cyan"/>
              </w:rPr>
              <w:t>Außerdem ist für April 2025 geplant einen KMU Innovativ Antrag</w:t>
            </w:r>
            <w:r w:rsidR="000B4AC1" w:rsidRPr="00740383">
              <w:rPr>
                <w:highlight w:val="cyan"/>
              </w:rPr>
              <w:t xml:space="preserve"> mit dem Partner ISG Steuerungstechnik zum Thema „KI-ermittelte CAM Parameter“ einzureichen. </w:t>
            </w:r>
          </w:p>
        </w:tc>
      </w:tr>
      <w:tr w:rsidR="001D101E" w14:paraId="127058C7" w14:textId="77777777" w:rsidTr="007B6E31">
        <w:trPr>
          <w:trHeight w:val="1259"/>
        </w:trPr>
        <w:tc>
          <w:tcPr>
            <w:tcW w:w="2835" w:type="dxa"/>
          </w:tcPr>
          <w:p w14:paraId="51E8E696" w14:textId="77777777" w:rsidR="001D101E" w:rsidRPr="00C566B8" w:rsidRDefault="001D101E" w:rsidP="00FE6CAC">
            <w:pPr>
              <w:numPr>
                <w:ilvl w:val="0"/>
                <w:numId w:val="1"/>
              </w:numPr>
              <w:rPr>
                <w:rFonts w:cs="Arial"/>
              </w:rPr>
            </w:pPr>
            <w:r w:rsidRPr="00C566B8">
              <w:rPr>
                <w:rFonts w:cs="Arial"/>
              </w:rPr>
              <w:t>Arbeiten, die zu keiner Lösung führten</w:t>
            </w:r>
          </w:p>
        </w:tc>
        <w:tc>
          <w:tcPr>
            <w:tcW w:w="6733" w:type="dxa"/>
          </w:tcPr>
          <w:p w14:paraId="6EE2EB78" w14:textId="4F28CC36" w:rsidR="001D101E" w:rsidRPr="00740383" w:rsidRDefault="000B4AC1">
            <w:pPr>
              <w:rPr>
                <w:highlight w:val="cyan"/>
              </w:rPr>
            </w:pPr>
            <w:r w:rsidRPr="00740383">
              <w:rPr>
                <w:highlight w:val="cyan"/>
              </w:rPr>
              <w:t xml:space="preserve">Bevor eine </w:t>
            </w:r>
            <w:proofErr w:type="spellStart"/>
            <w:r w:rsidRPr="00740383">
              <w:rPr>
                <w:highlight w:val="cyan"/>
              </w:rPr>
              <w:t>Stereofähingkeit</w:t>
            </w:r>
            <w:proofErr w:type="spellEnd"/>
            <w:r w:rsidRPr="00740383">
              <w:rPr>
                <w:highlight w:val="cyan"/>
              </w:rPr>
              <w:t xml:space="preserve"> für die Softwarekomponente „</w:t>
            </w:r>
            <w:proofErr w:type="spellStart"/>
            <w:r w:rsidRPr="00740383">
              <w:rPr>
                <w:highlight w:val="cyan"/>
              </w:rPr>
              <w:t>CNCSim</w:t>
            </w:r>
            <w:proofErr w:type="spellEnd"/>
            <w:r w:rsidRPr="00740383">
              <w:rPr>
                <w:highlight w:val="cyan"/>
              </w:rPr>
              <w:t xml:space="preserve">“ entwickelt, wurde eine Integration von der Rhino Software (mit Machining Plug-In) auf dem </w:t>
            </w:r>
            <w:proofErr w:type="spellStart"/>
            <w:r w:rsidRPr="00740383">
              <w:rPr>
                <w:highlight w:val="cyan"/>
              </w:rPr>
              <w:t>PluraView</w:t>
            </w:r>
            <w:proofErr w:type="spellEnd"/>
            <w:r w:rsidRPr="00740383">
              <w:rPr>
                <w:highlight w:val="cyan"/>
              </w:rPr>
              <w:t xml:space="preserve"> versucht, die zu keiner Lösung geführt hat.</w:t>
            </w:r>
          </w:p>
        </w:tc>
      </w:tr>
      <w:tr w:rsidR="005C1989" w14:paraId="0665EC43" w14:textId="77777777" w:rsidTr="007B6E31">
        <w:trPr>
          <w:trHeight w:val="1263"/>
        </w:trPr>
        <w:tc>
          <w:tcPr>
            <w:tcW w:w="2835" w:type="dxa"/>
          </w:tcPr>
          <w:p w14:paraId="7B0A7945" w14:textId="77777777" w:rsidR="001D101E" w:rsidRPr="00C566B8" w:rsidRDefault="00C566B8" w:rsidP="00C566B8">
            <w:pPr>
              <w:numPr>
                <w:ilvl w:val="0"/>
                <w:numId w:val="1"/>
              </w:numPr>
              <w:autoSpaceDE w:val="0"/>
              <w:autoSpaceDN w:val="0"/>
              <w:adjustRightInd w:val="0"/>
              <w:snapToGrid w:val="0"/>
              <w:jc w:val="both"/>
              <w:rPr>
                <w:rFonts w:cs="Arial"/>
                <w:color w:val="000000"/>
              </w:rPr>
            </w:pPr>
            <w:r>
              <w:rPr>
                <w:rFonts w:cs="Arial"/>
                <w:color w:val="000000"/>
              </w:rPr>
              <w:t>Präsentationsmöglichkeiten</w:t>
            </w:r>
            <w:r w:rsidR="001D101E" w:rsidRPr="00C566B8">
              <w:rPr>
                <w:rFonts w:cs="Arial"/>
                <w:color w:val="000000"/>
                <w:lang w:val="x-none"/>
              </w:rPr>
              <w:t xml:space="preserve"> für mögliche Nutzer - z.B. Anwenderkonferenzen</w:t>
            </w:r>
          </w:p>
        </w:tc>
        <w:tc>
          <w:tcPr>
            <w:tcW w:w="6733" w:type="dxa"/>
          </w:tcPr>
          <w:p w14:paraId="5BDB47FF" w14:textId="37FCB941" w:rsidR="005C1989" w:rsidRPr="00740383" w:rsidRDefault="000B4AC1">
            <w:pPr>
              <w:rPr>
                <w:highlight w:val="cyan"/>
              </w:rPr>
            </w:pPr>
            <w:r w:rsidRPr="00740383">
              <w:rPr>
                <w:highlight w:val="cyan"/>
              </w:rPr>
              <w:t xml:space="preserve">Die Ergebnisse werden auf der nächsten „ModuleWorks Insider Conference“ unserem Kunden und Users präsentiert. Außerdem </w:t>
            </w:r>
            <w:r w:rsidR="00C765F7" w:rsidRPr="00740383">
              <w:rPr>
                <w:highlight w:val="cyan"/>
              </w:rPr>
              <w:t>werden</w:t>
            </w:r>
            <w:r w:rsidRPr="00740383">
              <w:rPr>
                <w:highlight w:val="cyan"/>
              </w:rPr>
              <w:t xml:space="preserve"> diese Ergebnisse bei </w:t>
            </w:r>
            <w:r w:rsidR="00C765F7" w:rsidRPr="00740383">
              <w:rPr>
                <w:highlight w:val="cyan"/>
              </w:rPr>
              <w:t>einer Laborführung  (Laborneubau 2023 / Erweiterungen werden noch ausgeführt) Besucher in unserem Firmensitz in Aachen präsentiert.</w:t>
            </w:r>
          </w:p>
        </w:tc>
      </w:tr>
      <w:tr w:rsidR="005C1989" w14:paraId="09F60268" w14:textId="77777777">
        <w:tc>
          <w:tcPr>
            <w:tcW w:w="2835" w:type="dxa"/>
          </w:tcPr>
          <w:p w14:paraId="0F258C07" w14:textId="77777777" w:rsidR="005C1989" w:rsidRPr="00C566B8" w:rsidRDefault="001D101E" w:rsidP="00FE6CAC">
            <w:pPr>
              <w:numPr>
                <w:ilvl w:val="0"/>
                <w:numId w:val="1"/>
              </w:numPr>
              <w:rPr>
                <w:rFonts w:cs="Arial"/>
              </w:rPr>
            </w:pPr>
            <w:r w:rsidRPr="00C566B8">
              <w:rPr>
                <w:rFonts w:cs="Arial"/>
              </w:rPr>
              <w:t>Einhaltung des Finanzierungs- und Zeitplans (ggf. Erläuterung von Abweichungen)</w:t>
            </w:r>
          </w:p>
        </w:tc>
        <w:tc>
          <w:tcPr>
            <w:tcW w:w="6733" w:type="dxa"/>
          </w:tcPr>
          <w:p w14:paraId="2E79992C" w14:textId="1E8946C1" w:rsidR="0082097B" w:rsidRDefault="000F4F37" w:rsidP="000F4F37">
            <w:r w:rsidRPr="00740383">
              <w:rPr>
                <w:highlight w:val="yellow"/>
              </w:rPr>
              <w:t>Das Projekt verlief in Absprache mit dem Projektauftraggeber wie geplant. Es waren keine</w:t>
            </w:r>
            <w:r w:rsidRPr="00740383">
              <w:rPr>
                <w:highlight w:val="yellow"/>
              </w:rPr>
              <w:t xml:space="preserve"> </w:t>
            </w:r>
            <w:r w:rsidRPr="00740383">
              <w:rPr>
                <w:highlight w:val="yellow"/>
              </w:rPr>
              <w:t>Anpassungen der Ausgaben-/Kosten- oder Zeitplanung notwendig.</w:t>
            </w:r>
          </w:p>
        </w:tc>
      </w:tr>
    </w:tbl>
    <w:p w14:paraId="3DC705F4" w14:textId="77777777" w:rsidR="005C1989" w:rsidRDefault="005C1989"/>
    <w:p w14:paraId="173C47FF" w14:textId="77777777" w:rsidR="005C1989" w:rsidRDefault="005C1989"/>
    <w:sectPr w:rsidR="005C1989">
      <w:footerReference w:type="default" r:id="rId7"/>
      <w:pgSz w:w="11907" w:h="16840" w:code="9"/>
      <w:pgMar w:top="1134" w:right="964" w:bottom="1021" w:left="1418" w:header="720" w:footer="720" w:gutter="0"/>
      <w:paperSrc w:first="7" w:other="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5797FF" w14:textId="77777777" w:rsidR="00F14F91" w:rsidRDefault="00F14F91">
      <w:r>
        <w:separator/>
      </w:r>
    </w:p>
  </w:endnote>
  <w:endnote w:type="continuationSeparator" w:id="0">
    <w:p w14:paraId="65218671" w14:textId="77777777" w:rsidR="00F14F91" w:rsidRDefault="00F14F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utiger LT Com 45 Light">
    <w:altName w:val="Calibri"/>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F9CADF" w14:textId="03F502F6" w:rsidR="00CD3108" w:rsidRDefault="00CD3108">
    <w:pPr>
      <w:pStyle w:val="Footer"/>
      <w:jc w:val="center"/>
    </w:pPr>
    <w:r>
      <w:t xml:space="preserve">Seite </w:t>
    </w:r>
    <w:sdt>
      <w:sdtPr>
        <w:id w:val="-1545662248"/>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r>
          <w:rPr>
            <w:noProof/>
          </w:rPr>
          <w:t xml:space="preserve"> – </w:t>
        </w:r>
        <w:r w:rsidRPr="00CD3108">
          <w:rPr>
            <w:noProof/>
          </w:rPr>
          <w:t>Erfolgskontrollbericht</w:t>
        </w:r>
        <w:r>
          <w:rPr>
            <w:noProof/>
          </w:rPr>
          <w:t xml:space="preserve"> CAMStylus (FKZ: </w:t>
        </w:r>
        <w:r w:rsidRPr="00740383">
          <w:rPr>
            <w:noProof/>
            <w:highlight w:val="yellow"/>
          </w:rPr>
          <w:t>01IS22006</w:t>
        </w:r>
        <w:r w:rsidRPr="00740383">
          <w:rPr>
            <w:noProof/>
            <w:highlight w:val="red"/>
          </w:rPr>
          <w:t>A</w:t>
        </w:r>
        <w:r>
          <w:rPr>
            <w:noProof/>
          </w:rPr>
          <w:t>)</w:t>
        </w:r>
      </w:sdtContent>
    </w:sdt>
  </w:p>
  <w:p w14:paraId="1AAAE705" w14:textId="77777777" w:rsidR="005C1989" w:rsidRDefault="005C1989">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5F19E4" w14:textId="77777777" w:rsidR="00F14F91" w:rsidRDefault="00F14F91">
      <w:r>
        <w:separator/>
      </w:r>
    </w:p>
  </w:footnote>
  <w:footnote w:type="continuationSeparator" w:id="0">
    <w:p w14:paraId="292C0435" w14:textId="77777777" w:rsidR="00F14F91" w:rsidRDefault="00F14F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4233C"/>
    <w:multiLevelType w:val="hybridMultilevel"/>
    <w:tmpl w:val="D0E0ACC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 w15:restartNumberingAfterBreak="0">
    <w:nsid w:val="01751E91"/>
    <w:multiLevelType w:val="hybridMultilevel"/>
    <w:tmpl w:val="9044F8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8E3BDB"/>
    <w:multiLevelType w:val="singleLevel"/>
    <w:tmpl w:val="01F0C4D6"/>
    <w:lvl w:ilvl="0">
      <w:start w:val="1"/>
      <w:numFmt w:val="decimal"/>
      <w:lvlText w:val="%1."/>
      <w:lvlJc w:val="left"/>
      <w:pPr>
        <w:tabs>
          <w:tab w:val="num" w:pos="360"/>
        </w:tabs>
        <w:ind w:left="284" w:hanging="284"/>
      </w:pPr>
    </w:lvl>
  </w:abstractNum>
  <w:abstractNum w:abstractNumId="3" w15:restartNumberingAfterBreak="0">
    <w:nsid w:val="3A8D7A2C"/>
    <w:multiLevelType w:val="hybridMultilevel"/>
    <w:tmpl w:val="984E659E"/>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44D1408B"/>
    <w:multiLevelType w:val="singleLevel"/>
    <w:tmpl w:val="0C8A7B1A"/>
    <w:lvl w:ilvl="0">
      <w:start w:val="1"/>
      <w:numFmt w:val="decimal"/>
      <w:lvlText w:val="%1."/>
      <w:lvlJc w:val="left"/>
      <w:pPr>
        <w:tabs>
          <w:tab w:val="num" w:pos="360"/>
        </w:tabs>
        <w:ind w:left="284" w:hanging="284"/>
      </w:pPr>
      <w:rPr>
        <w:u w:val="single"/>
      </w:rPr>
    </w:lvl>
  </w:abstractNum>
  <w:abstractNum w:abstractNumId="5" w15:restartNumberingAfterBreak="0">
    <w:nsid w:val="58503B48"/>
    <w:multiLevelType w:val="hybridMultilevel"/>
    <w:tmpl w:val="F5BA928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1398092140">
    <w:abstractNumId w:val="4"/>
  </w:num>
  <w:num w:numId="2" w16cid:durableId="381907917">
    <w:abstractNumId w:val="2"/>
  </w:num>
  <w:num w:numId="3" w16cid:durableId="1862813016">
    <w:abstractNumId w:val="1"/>
  </w:num>
  <w:num w:numId="4" w16cid:durableId="916325060">
    <w:abstractNumId w:val="5"/>
  </w:num>
  <w:num w:numId="5" w16cid:durableId="1295328845">
    <w:abstractNumId w:val="0"/>
  </w:num>
  <w:num w:numId="6" w16cid:durableId="35149109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3C64"/>
    <w:rsid w:val="000712E8"/>
    <w:rsid w:val="000B4AC1"/>
    <w:rsid w:val="000F4F37"/>
    <w:rsid w:val="00123361"/>
    <w:rsid w:val="00156E57"/>
    <w:rsid w:val="00190002"/>
    <w:rsid w:val="001D101E"/>
    <w:rsid w:val="001E1950"/>
    <w:rsid w:val="00312B11"/>
    <w:rsid w:val="003E1AEC"/>
    <w:rsid w:val="00400EE3"/>
    <w:rsid w:val="004C6272"/>
    <w:rsid w:val="004F0E9A"/>
    <w:rsid w:val="005140E1"/>
    <w:rsid w:val="005438C9"/>
    <w:rsid w:val="005C1989"/>
    <w:rsid w:val="00600935"/>
    <w:rsid w:val="00613C64"/>
    <w:rsid w:val="00622A14"/>
    <w:rsid w:val="00680DA5"/>
    <w:rsid w:val="00684D03"/>
    <w:rsid w:val="00686EC6"/>
    <w:rsid w:val="00740383"/>
    <w:rsid w:val="00761C06"/>
    <w:rsid w:val="007A303A"/>
    <w:rsid w:val="007B6E31"/>
    <w:rsid w:val="007F63BB"/>
    <w:rsid w:val="00800D5D"/>
    <w:rsid w:val="00805C89"/>
    <w:rsid w:val="0082097B"/>
    <w:rsid w:val="008B7AF5"/>
    <w:rsid w:val="00A11309"/>
    <w:rsid w:val="00A17684"/>
    <w:rsid w:val="00AF1CA5"/>
    <w:rsid w:val="00C42188"/>
    <w:rsid w:val="00C566B8"/>
    <w:rsid w:val="00C765F7"/>
    <w:rsid w:val="00CD3108"/>
    <w:rsid w:val="00CD3F76"/>
    <w:rsid w:val="00D16FD8"/>
    <w:rsid w:val="00D316D5"/>
    <w:rsid w:val="00D327B7"/>
    <w:rsid w:val="00D86A03"/>
    <w:rsid w:val="00DB1A09"/>
    <w:rsid w:val="00DD1AF4"/>
    <w:rsid w:val="00DF1AFC"/>
    <w:rsid w:val="00E37974"/>
    <w:rsid w:val="00EC1CDA"/>
    <w:rsid w:val="00EE646A"/>
    <w:rsid w:val="00F14F91"/>
    <w:rsid w:val="00F368DA"/>
    <w:rsid w:val="00F67B15"/>
    <w:rsid w:val="00FD0A15"/>
    <w:rsid w:val="00FE6C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E49605"/>
  <w15:chartTrackingRefBased/>
  <w15:docId w15:val="{2F42E27C-52E6-4336-8049-3E3CAD13A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rPr>
  </w:style>
  <w:style w:type="paragraph" w:styleId="Heading1">
    <w:name w:val="heading 1"/>
    <w:basedOn w:val="Normal"/>
    <w:next w:val="Normal"/>
    <w:qFormat/>
    <w:pPr>
      <w:keepNext/>
      <w:jc w:val="center"/>
      <w:outlineLvl w:val="0"/>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paragraph" w:styleId="BodyText">
    <w:name w:val="Body Text"/>
    <w:basedOn w:val="Normal"/>
    <w:semiHidden/>
  </w:style>
  <w:style w:type="paragraph" w:styleId="ListParagraph">
    <w:name w:val="List Paragraph"/>
    <w:basedOn w:val="Normal"/>
    <w:uiPriority w:val="34"/>
    <w:qFormat/>
    <w:rsid w:val="00680DA5"/>
    <w:pPr>
      <w:spacing w:after="240" w:line="240" w:lineRule="atLeast"/>
      <w:ind w:left="720"/>
      <w:contextualSpacing/>
    </w:pPr>
    <w:rPr>
      <w:rFonts w:ascii="Frutiger LT Com 45 Light" w:hAnsi="Frutiger LT Com 45 Light"/>
      <w:szCs w:val="24"/>
    </w:rPr>
  </w:style>
  <w:style w:type="character" w:customStyle="1" w:styleId="FooterChar">
    <w:name w:val="Footer Char"/>
    <w:basedOn w:val="DefaultParagraphFont"/>
    <w:link w:val="Footer"/>
    <w:uiPriority w:val="99"/>
    <w:rsid w:val="00CD3108"/>
    <w:rPr>
      <w:rFonts w:ascii="Arial" w:hAnsi="Arial"/>
    </w:rPr>
  </w:style>
  <w:style w:type="character" w:customStyle="1" w:styleId="fontstyle01">
    <w:name w:val="fontstyle01"/>
    <w:basedOn w:val="DefaultParagraphFont"/>
    <w:rsid w:val="003E1AEC"/>
    <w:rPr>
      <w:rFonts w:ascii="Calibri" w:hAnsi="Calibri" w:cs="Calibri"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5063057">
      <w:bodyDiv w:val="1"/>
      <w:marLeft w:val="0"/>
      <w:marRight w:val="0"/>
      <w:marTop w:val="0"/>
      <w:marBottom w:val="0"/>
      <w:divBdr>
        <w:top w:val="none" w:sz="0" w:space="0" w:color="auto"/>
        <w:left w:val="none" w:sz="0" w:space="0" w:color="auto"/>
        <w:bottom w:val="none" w:sz="0" w:space="0" w:color="auto"/>
        <w:right w:val="none" w:sz="0" w:space="0" w:color="auto"/>
      </w:divBdr>
    </w:div>
    <w:div w:id="1247879009">
      <w:bodyDiv w:val="1"/>
      <w:marLeft w:val="0"/>
      <w:marRight w:val="0"/>
      <w:marTop w:val="0"/>
      <w:marBottom w:val="0"/>
      <w:divBdr>
        <w:top w:val="none" w:sz="0" w:space="0" w:color="auto"/>
        <w:left w:val="none" w:sz="0" w:space="0" w:color="auto"/>
        <w:bottom w:val="none" w:sz="0" w:space="0" w:color="auto"/>
        <w:right w:val="none" w:sz="0" w:space="0" w:color="auto"/>
      </w:divBdr>
    </w:div>
    <w:div w:id="1991903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993</Words>
  <Characters>5664</Characters>
  <Application>Microsoft Office Word</Application>
  <DocSecurity>0</DocSecurity>
  <Lines>47</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Erfolgskontrollbericht</vt:lpstr>
      <vt:lpstr>Erfolgskontrollbericht</vt:lpstr>
    </vt:vector>
  </TitlesOfParts>
  <Company>VDI/VDE-IT</Company>
  <LinksUpToDate>false</LinksUpToDate>
  <CharactersWithSpaces>6644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Erfolgskontrollbericht</dc:title>
  <dc:subject/>
  <dc:creator>Ralph Fromm</dc:creator>
  <cp:keywords/>
  <dc:description/>
  <cp:lastModifiedBy>Denys Plakhotnik</cp:lastModifiedBy>
  <cp:revision>4</cp:revision>
  <cp:lastPrinted>2003-02-24T10:03:00Z</cp:lastPrinted>
  <dcterms:created xsi:type="dcterms:W3CDTF">2024-12-20T12:25:00Z</dcterms:created>
  <dcterms:modified xsi:type="dcterms:W3CDTF">2024-12-20T12:26:00Z</dcterms:modified>
</cp:coreProperties>
</file>